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C1" w:rsidRPr="009A02C1" w:rsidRDefault="009A02C1" w:rsidP="009A02C1">
      <w:pPr>
        <w:spacing w:after="0" w:line="240" w:lineRule="auto"/>
        <w:jc w:val="both"/>
        <w:rPr>
          <w:rFonts w:asciiTheme="minorHAnsi" w:hAnsiTheme="minorHAnsi" w:cs="Calibri"/>
          <w:b/>
          <w:color w:val="31849B"/>
          <w:sz w:val="28"/>
          <w:szCs w:val="28"/>
          <w:u w:val="thick"/>
        </w:rPr>
      </w:pPr>
      <w:r w:rsidRPr="009A02C1">
        <w:rPr>
          <w:rFonts w:asciiTheme="minorHAnsi" w:hAnsiTheme="minorHAnsi" w:cs="Calibri"/>
          <w:b/>
          <w:color w:val="31849B"/>
          <w:sz w:val="28"/>
          <w:szCs w:val="28"/>
          <w:u w:val="thick"/>
        </w:rPr>
        <w:t>CE QUE DISENT LES PROGRAMMES :</w:t>
      </w:r>
    </w:p>
    <w:p w:rsidR="009A02C1" w:rsidRDefault="009A02C1" w:rsidP="009A02C1">
      <w:pPr>
        <w:spacing w:after="0" w:line="240" w:lineRule="auto"/>
        <w:jc w:val="both"/>
        <w:rPr>
          <w:rFonts w:asciiTheme="minorHAnsi" w:hAnsiTheme="minorHAnsi" w:cs="Calibri"/>
          <w:b/>
          <w:color w:val="31849B"/>
          <w:sz w:val="28"/>
          <w:szCs w:val="28"/>
        </w:rPr>
      </w:pPr>
    </w:p>
    <w:p w:rsidR="00C53654" w:rsidRPr="00E72F01" w:rsidRDefault="009A02C1" w:rsidP="00C53654">
      <w:pPr>
        <w:spacing w:after="0" w:line="240" w:lineRule="auto"/>
        <w:jc w:val="both"/>
        <w:rPr>
          <w:rFonts w:asciiTheme="minorHAnsi" w:hAnsiTheme="minorHAnsi" w:cstheme="minorHAnsi"/>
          <w:i/>
        </w:rPr>
      </w:pPr>
      <w:r>
        <w:rPr>
          <w:rFonts w:asciiTheme="minorHAnsi" w:hAnsiTheme="minorHAnsi" w:cs="Calibri"/>
          <w:b/>
          <w:color w:val="31849B"/>
          <w:sz w:val="28"/>
          <w:szCs w:val="28"/>
        </w:rPr>
        <w:t>CYCLE 3</w:t>
      </w:r>
      <w:r w:rsidR="00996CFB">
        <w:rPr>
          <w:rFonts w:asciiTheme="minorHAnsi" w:hAnsiTheme="minorHAnsi" w:cs="Calibri"/>
          <w:b/>
          <w:color w:val="31849B"/>
          <w:sz w:val="28"/>
          <w:szCs w:val="28"/>
        </w:rPr>
        <w:t> </w:t>
      </w:r>
      <w:r w:rsidR="00996CFB">
        <w:rPr>
          <w:rFonts w:asciiTheme="minorHAnsi" w:hAnsiTheme="minorHAnsi" w:cstheme="minorHAnsi"/>
        </w:rPr>
        <w:t xml:space="preserve">: </w:t>
      </w:r>
      <w:r w:rsidR="00C53654" w:rsidRPr="00E72F01">
        <w:rPr>
          <w:rFonts w:asciiTheme="minorHAnsi" w:hAnsiTheme="minorHAnsi" w:cstheme="minorHAnsi"/>
          <w:i/>
        </w:rPr>
        <w:t>Le terme proportionnalité apparait 15 fois</w:t>
      </w:r>
      <w:bookmarkStart w:id="0" w:name="_GoBack"/>
      <w:bookmarkEnd w:id="0"/>
    </w:p>
    <w:p w:rsidR="00C53654" w:rsidRPr="00EF0532" w:rsidRDefault="00C53654" w:rsidP="00C53654">
      <w:pPr>
        <w:contextualSpacing/>
        <w:rPr>
          <w:rFonts w:asciiTheme="minorHAnsi" w:hAnsiTheme="minorHAnsi" w:cstheme="minorHAnsi"/>
        </w:rPr>
      </w:pPr>
    </w:p>
    <w:p w:rsidR="00C53654" w:rsidRPr="00EF0532" w:rsidRDefault="00C53654" w:rsidP="00C53654">
      <w:pPr>
        <w:shd w:val="clear" w:color="auto" w:fill="DAEEF3"/>
        <w:jc w:val="both"/>
        <w:rPr>
          <w:rFonts w:asciiTheme="minorHAnsi" w:hAnsiTheme="minorHAnsi" w:cstheme="minorHAnsi"/>
        </w:rPr>
      </w:pPr>
      <w:r w:rsidRPr="00EF0532">
        <w:rPr>
          <w:rFonts w:asciiTheme="minorHAnsi" w:hAnsiTheme="minorHAnsi" w:cstheme="minorHAnsi"/>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C53654" w:rsidRPr="00EF0532" w:rsidRDefault="00C53654" w:rsidP="00C53654">
      <w:pPr>
        <w:shd w:val="clear" w:color="auto" w:fill="DAEEF3"/>
        <w:spacing w:after="0" w:line="240" w:lineRule="auto"/>
        <w:jc w:val="both"/>
        <w:rPr>
          <w:rFonts w:asciiTheme="minorHAnsi" w:hAnsiTheme="minorHAnsi" w:cstheme="minorHAnsi"/>
        </w:rPr>
      </w:pPr>
      <w:r w:rsidRPr="00EF0532">
        <w:rPr>
          <w:rFonts w:asciiTheme="minorHAnsi" w:hAnsiTheme="minorHAnsi" w:cstheme="minorHAnsi"/>
        </w:rPr>
        <w:t xml:space="preserve">Les activités géométriques pratiquées au cycle 3 s’inscrivent dans la continuité des celles fréquentées au cycle 2. Elles s’en distinguent par une part plus grande accordée au raisonnement et à l’argumentation qui complètent la perception et l’usage des instruments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76"/>
        <w:gridCol w:w="1380"/>
      </w:tblGrid>
      <w:tr w:rsidR="00C53654" w:rsidRPr="00EF0532" w:rsidTr="009120B0">
        <w:tc>
          <w:tcPr>
            <w:tcW w:w="9076" w:type="dxa"/>
            <w:shd w:val="clear" w:color="auto" w:fill="DAEEF3"/>
          </w:tcPr>
          <w:p w:rsidR="00C53654" w:rsidRPr="00EF0532" w:rsidRDefault="00C53654" w:rsidP="009120B0">
            <w:pPr>
              <w:spacing w:after="0" w:line="240" w:lineRule="auto"/>
              <w:rPr>
                <w:rFonts w:asciiTheme="minorHAnsi" w:hAnsiTheme="minorHAnsi" w:cstheme="minorHAnsi"/>
                <w:b/>
              </w:rPr>
            </w:pPr>
            <w:r w:rsidRPr="00EF0532">
              <w:rPr>
                <w:rFonts w:asciiTheme="minorHAnsi" w:hAnsiTheme="minorHAnsi" w:cstheme="minorHAnsi"/>
                <w:b/>
              </w:rPr>
              <w:t>Compétences</w:t>
            </w:r>
          </w:p>
        </w:tc>
        <w:tc>
          <w:tcPr>
            <w:tcW w:w="1380" w:type="dxa"/>
            <w:shd w:val="clear" w:color="auto" w:fill="DAEEF3"/>
            <w:vAlign w:val="center"/>
          </w:tcPr>
          <w:p w:rsidR="00C53654" w:rsidRPr="00EF0532" w:rsidRDefault="00C53654" w:rsidP="009120B0">
            <w:pPr>
              <w:spacing w:after="0" w:line="240" w:lineRule="auto"/>
              <w:jc w:val="center"/>
              <w:rPr>
                <w:rFonts w:asciiTheme="minorHAnsi" w:hAnsiTheme="minorHAnsi" w:cstheme="minorHAnsi"/>
                <w:b/>
              </w:rPr>
            </w:pPr>
            <w:r w:rsidRPr="00EF0532">
              <w:rPr>
                <w:rFonts w:asciiTheme="minorHAnsi" w:hAnsiTheme="minorHAnsi" w:cstheme="minorHAnsi"/>
                <w:b/>
              </w:rPr>
              <w:t>Domaines du socle</w:t>
            </w:r>
          </w:p>
        </w:tc>
      </w:tr>
      <w:tr w:rsidR="00C53654" w:rsidRPr="00EF0532" w:rsidTr="009120B0">
        <w:tc>
          <w:tcPr>
            <w:tcW w:w="9076" w:type="dxa"/>
            <w:shd w:val="clear" w:color="auto" w:fill="DAEEF3"/>
          </w:tcPr>
          <w:p w:rsidR="00C53654" w:rsidRPr="00EF0532" w:rsidRDefault="00C53654" w:rsidP="009120B0">
            <w:pPr>
              <w:spacing w:after="0" w:line="240" w:lineRule="auto"/>
              <w:rPr>
                <w:rFonts w:asciiTheme="minorHAnsi" w:hAnsiTheme="minorHAnsi" w:cstheme="minorHAnsi"/>
                <w:b/>
              </w:rPr>
            </w:pPr>
            <w:r w:rsidRPr="00EF0532">
              <w:rPr>
                <w:rFonts w:asciiTheme="minorHAnsi" w:hAnsiTheme="minorHAnsi" w:cstheme="minorHAnsi"/>
                <w:b/>
              </w:rPr>
              <w:t>Modéliser</w:t>
            </w:r>
          </w:p>
          <w:p w:rsidR="00C53654" w:rsidRPr="00EF0532" w:rsidRDefault="00C53654" w:rsidP="00C53654">
            <w:pPr>
              <w:numPr>
                <w:ilvl w:val="0"/>
                <w:numId w:val="2"/>
              </w:numPr>
              <w:spacing w:after="0" w:line="240" w:lineRule="auto"/>
              <w:contextualSpacing/>
              <w:jc w:val="both"/>
              <w:rPr>
                <w:rFonts w:asciiTheme="minorHAnsi" w:hAnsiTheme="minorHAnsi" w:cstheme="minorHAnsi"/>
              </w:rPr>
            </w:pPr>
            <w:r w:rsidRPr="00EF0532">
              <w:rPr>
                <w:rFonts w:asciiTheme="minorHAnsi" w:hAnsiTheme="minorHAnsi" w:cstheme="minorHAnsi"/>
              </w:rPr>
              <w:t xml:space="preserve">Utiliser les mathématiques pour résoudre quelques problèmes issus de situations de la vie quotidienne. </w:t>
            </w:r>
          </w:p>
          <w:p w:rsidR="00C53654" w:rsidRPr="00EF0532" w:rsidRDefault="00C53654" w:rsidP="00C53654">
            <w:pPr>
              <w:numPr>
                <w:ilvl w:val="0"/>
                <w:numId w:val="2"/>
              </w:numPr>
              <w:spacing w:after="0" w:line="240" w:lineRule="auto"/>
              <w:contextualSpacing/>
              <w:jc w:val="both"/>
              <w:rPr>
                <w:rFonts w:asciiTheme="minorHAnsi" w:hAnsiTheme="minorHAnsi" w:cstheme="minorHAnsi"/>
              </w:rPr>
            </w:pPr>
            <w:r w:rsidRPr="00EF0532">
              <w:rPr>
                <w:rFonts w:asciiTheme="minorHAnsi" w:hAnsiTheme="minorHAnsi" w:cstheme="minorHAnsi"/>
              </w:rPr>
              <w:t xml:space="preserve">Reconnaitre et distinguer des problèmes relevant de situations additives, multiplicatives, de proportionnalité. </w:t>
            </w:r>
          </w:p>
        </w:tc>
        <w:tc>
          <w:tcPr>
            <w:tcW w:w="1380" w:type="dxa"/>
            <w:shd w:val="clear" w:color="auto" w:fill="DAEEF3"/>
            <w:vAlign w:val="center"/>
          </w:tcPr>
          <w:p w:rsidR="00C53654" w:rsidRPr="00EF0532" w:rsidRDefault="00C53654" w:rsidP="009120B0">
            <w:pPr>
              <w:spacing w:after="0" w:line="240" w:lineRule="auto"/>
              <w:jc w:val="center"/>
              <w:rPr>
                <w:rFonts w:asciiTheme="minorHAnsi" w:hAnsiTheme="minorHAnsi" w:cstheme="minorHAnsi"/>
              </w:rPr>
            </w:pPr>
            <w:r w:rsidRPr="00EF0532">
              <w:rPr>
                <w:rFonts w:asciiTheme="minorHAnsi" w:hAnsiTheme="minorHAnsi" w:cstheme="minorHAnsi"/>
              </w:rPr>
              <w:t>1, 2, 4</w:t>
            </w:r>
          </w:p>
        </w:tc>
      </w:tr>
    </w:tbl>
    <w:p w:rsidR="00C53654" w:rsidRPr="00EF0532" w:rsidRDefault="00C53654" w:rsidP="00C53654">
      <w:pPr>
        <w:contextualSpacing/>
        <w:rPr>
          <w:rFonts w:asciiTheme="minorHAnsi" w:hAnsiTheme="minorHAnsi" w:cstheme="minorHAnsi"/>
          <w:b/>
          <w:bCs/>
        </w:rPr>
      </w:pPr>
    </w:p>
    <w:p w:rsidR="00C53654" w:rsidRPr="00EF0532" w:rsidRDefault="00C53654" w:rsidP="00C53654">
      <w:pPr>
        <w:contextualSpacing/>
        <w:rPr>
          <w:rFonts w:asciiTheme="minorHAnsi" w:hAnsiTheme="minorHAnsi" w:cstheme="minorHAnsi"/>
          <w:b/>
          <w:bCs/>
        </w:rPr>
      </w:pPr>
      <w:r w:rsidRPr="00EF0532">
        <w:rPr>
          <w:rFonts w:asciiTheme="minorHAnsi" w:hAnsiTheme="minorHAnsi" w:cstheme="minorHAnsi"/>
          <w:b/>
          <w:bCs/>
        </w:rPr>
        <w:t>Nombres et calculs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9"/>
        <w:gridCol w:w="4857"/>
      </w:tblGrid>
      <w:tr w:rsidR="00C53654" w:rsidRPr="00EF0532" w:rsidTr="009120B0">
        <w:tc>
          <w:tcPr>
            <w:tcW w:w="5599" w:type="dxa"/>
            <w:shd w:val="clear" w:color="auto" w:fill="B6DDE8"/>
          </w:tcPr>
          <w:p w:rsidR="00C53654" w:rsidRPr="00EF0532" w:rsidRDefault="00C53654" w:rsidP="009120B0">
            <w:pPr>
              <w:spacing w:after="0" w:line="240" w:lineRule="auto"/>
              <w:rPr>
                <w:rFonts w:asciiTheme="minorHAnsi" w:hAnsiTheme="minorHAnsi" w:cstheme="minorHAnsi"/>
                <w:i/>
              </w:rPr>
            </w:pPr>
            <w:r w:rsidRPr="00EF0532">
              <w:rPr>
                <w:rFonts w:asciiTheme="minorHAnsi" w:hAnsiTheme="minorHAnsi" w:cstheme="minorHAnsi"/>
                <w:b/>
              </w:rPr>
              <w:t>Connaissances et compétences associées</w:t>
            </w:r>
          </w:p>
        </w:tc>
        <w:tc>
          <w:tcPr>
            <w:tcW w:w="4857" w:type="dxa"/>
            <w:shd w:val="clear" w:color="auto" w:fill="B6DDE8"/>
          </w:tcPr>
          <w:p w:rsidR="00C53654" w:rsidRPr="00EF0532" w:rsidRDefault="00C53654" w:rsidP="009120B0">
            <w:pPr>
              <w:spacing w:after="0" w:line="240" w:lineRule="auto"/>
              <w:rPr>
                <w:rFonts w:asciiTheme="minorHAnsi" w:hAnsiTheme="minorHAnsi" w:cstheme="minorHAnsi"/>
                <w:i/>
              </w:rPr>
            </w:pPr>
            <w:r w:rsidRPr="00EF0532">
              <w:rPr>
                <w:rFonts w:asciiTheme="minorHAnsi" w:hAnsiTheme="minorHAnsi" w:cstheme="minorHAnsi"/>
                <w:b/>
                <w:color w:val="000000"/>
                <w:lang w:eastAsia="fr-FR"/>
              </w:rPr>
              <w:t>Exemples de situations, d’activités et de ressources pour l’élève</w:t>
            </w:r>
          </w:p>
        </w:tc>
      </w:tr>
      <w:tr w:rsidR="00C53654" w:rsidRPr="00EF0532" w:rsidTr="009120B0">
        <w:tc>
          <w:tcPr>
            <w:tcW w:w="5599" w:type="dxa"/>
            <w:tcBorders>
              <w:top w:val="single" w:sz="4" w:space="0" w:color="auto"/>
              <w:left w:val="single" w:sz="4" w:space="0" w:color="auto"/>
              <w:bottom w:val="single" w:sz="4" w:space="0" w:color="auto"/>
              <w:right w:val="single" w:sz="4" w:space="0" w:color="auto"/>
            </w:tcBorders>
            <w:shd w:val="clear" w:color="auto" w:fill="FFFFFF" w:themeFill="background1"/>
          </w:tcPr>
          <w:p w:rsidR="00C53654" w:rsidRPr="00EF0532" w:rsidRDefault="00C53654" w:rsidP="009120B0">
            <w:pPr>
              <w:spacing w:after="0" w:line="240" w:lineRule="auto"/>
              <w:rPr>
                <w:rFonts w:asciiTheme="minorHAnsi" w:hAnsiTheme="minorHAnsi" w:cstheme="minorHAnsi"/>
                <w:b/>
              </w:rPr>
            </w:pPr>
            <w:r w:rsidRPr="00EF0532">
              <w:rPr>
                <w:rFonts w:asciiTheme="minorHAnsi" w:hAnsiTheme="minorHAnsi" w:cstheme="minorHAnsi"/>
                <w:b/>
              </w:rPr>
              <w:t>Proportionnalité</w:t>
            </w:r>
          </w:p>
          <w:p w:rsidR="00C53654" w:rsidRPr="00EF0532" w:rsidRDefault="00C53654" w:rsidP="009120B0">
            <w:pPr>
              <w:spacing w:after="0" w:line="240" w:lineRule="auto"/>
              <w:rPr>
                <w:rFonts w:asciiTheme="minorHAnsi" w:hAnsiTheme="minorHAnsi" w:cstheme="minorHAnsi"/>
              </w:rPr>
            </w:pPr>
            <w:r w:rsidRPr="00EF0532">
              <w:rPr>
                <w:rFonts w:asciiTheme="minorHAnsi" w:hAnsiTheme="minorHAnsi" w:cstheme="minorHAnsi"/>
              </w:rPr>
              <w:t>Reconnaitre et résoudre des problèmes relevant de la proportionnalité en utilisant une procédure adaptée.</w:t>
            </w:r>
          </w:p>
        </w:tc>
        <w:tc>
          <w:tcPr>
            <w:tcW w:w="4857" w:type="dxa"/>
            <w:tcBorders>
              <w:top w:val="single" w:sz="4" w:space="0" w:color="auto"/>
              <w:left w:val="single" w:sz="4" w:space="0" w:color="auto"/>
              <w:bottom w:val="single" w:sz="4" w:space="0" w:color="auto"/>
              <w:right w:val="single" w:sz="4" w:space="0" w:color="auto"/>
            </w:tcBorders>
            <w:shd w:val="clear" w:color="auto" w:fill="FFFFFF" w:themeFill="background1"/>
          </w:tcPr>
          <w:p w:rsidR="00C53654" w:rsidRPr="00EF0532" w:rsidRDefault="00C53654" w:rsidP="009120B0">
            <w:pPr>
              <w:spacing w:after="0" w:line="240" w:lineRule="auto"/>
              <w:rPr>
                <w:rFonts w:asciiTheme="minorHAnsi" w:hAnsiTheme="minorHAnsi" w:cstheme="minorHAnsi"/>
                <w:color w:val="000000"/>
                <w:lang w:eastAsia="fr-FR"/>
              </w:rPr>
            </w:pPr>
            <w:r w:rsidRPr="00EF0532">
              <w:rPr>
                <w:rFonts w:asciiTheme="minorHAnsi" w:hAnsiTheme="minorHAnsi" w:cstheme="minorHAnsi"/>
                <w:color w:val="000000"/>
                <w:lang w:eastAsia="fr-FR"/>
              </w:rPr>
              <w:t>Situations permettant une rencontre avec des échelles, des vitesses constantes, des taux de pourcentage, en lien avec l’étude des fractions décimales.</w:t>
            </w:r>
          </w:p>
          <w:p w:rsidR="00C53654" w:rsidRPr="00EF0532" w:rsidRDefault="00C53654" w:rsidP="009120B0">
            <w:pPr>
              <w:spacing w:after="0" w:line="240" w:lineRule="auto"/>
              <w:rPr>
                <w:rFonts w:asciiTheme="minorHAnsi" w:hAnsiTheme="minorHAnsi" w:cstheme="minorHAnsi"/>
                <w:color w:val="000000"/>
                <w:lang w:eastAsia="fr-FR"/>
              </w:rPr>
            </w:pPr>
            <w:r w:rsidRPr="00EF0532">
              <w:rPr>
                <w:rFonts w:asciiTheme="minorHAnsi" w:hAnsiTheme="minorHAnsi" w:cstheme="minorHAnsi"/>
                <w:color w:val="000000"/>
                <w:lang w:eastAsia="fr-FR"/>
              </w:rPr>
              <w:t xml:space="preserve">Mobiliser les propriétés de linéarité (additives et multiplicatives), de proportionnalité, de passage à l’unité. </w:t>
            </w:r>
          </w:p>
          <w:p w:rsidR="00C53654" w:rsidRPr="00EF0532" w:rsidRDefault="00C53654" w:rsidP="009120B0">
            <w:pPr>
              <w:spacing w:after="0" w:line="240" w:lineRule="auto"/>
              <w:rPr>
                <w:rFonts w:asciiTheme="minorHAnsi" w:hAnsiTheme="minorHAnsi" w:cstheme="minorHAnsi"/>
                <w:color w:val="000000"/>
                <w:lang w:eastAsia="fr-FR"/>
              </w:rPr>
            </w:pPr>
            <w:r w:rsidRPr="00EF0532">
              <w:rPr>
                <w:rFonts w:asciiTheme="minorHAnsi" w:hAnsiTheme="minorHAnsi" w:cstheme="minorHAnsi"/>
                <w:color w:val="000000"/>
                <w:lang w:eastAsia="fr-FR"/>
              </w:rPr>
              <w:t xml:space="preserve">Utiliser des exemples de tableaux de proportionnalité. </w:t>
            </w:r>
          </w:p>
        </w:tc>
      </w:tr>
    </w:tbl>
    <w:p w:rsidR="00C53654" w:rsidRPr="00EF0532" w:rsidRDefault="00C53654" w:rsidP="00C53654">
      <w:pPr>
        <w:contextualSpacing/>
        <w:rPr>
          <w:rFonts w:asciiTheme="minorHAnsi" w:hAnsiTheme="minorHAnsi" w:cstheme="minorHAnsi"/>
          <w:b/>
          <w:bCs/>
        </w:rPr>
      </w:pPr>
    </w:p>
    <w:p w:rsidR="00C53654" w:rsidRPr="00EF0532" w:rsidRDefault="00C53654" w:rsidP="00C53654">
      <w:pPr>
        <w:contextualSpacing/>
        <w:rPr>
          <w:rFonts w:asciiTheme="minorHAnsi" w:hAnsiTheme="minorHAnsi" w:cstheme="minorHAnsi"/>
          <w:b/>
          <w:bCs/>
        </w:rPr>
      </w:pPr>
      <w:r w:rsidRPr="00EF0532">
        <w:rPr>
          <w:rFonts w:asciiTheme="minorHAnsi" w:hAnsiTheme="minorHAnsi" w:cstheme="minorHAnsi"/>
          <w:b/>
          <w:bCs/>
        </w:rPr>
        <w:t>Grandeurs et mesures</w:t>
      </w:r>
    </w:p>
    <w:p w:rsidR="00C53654" w:rsidRPr="00EF0532" w:rsidRDefault="00C53654" w:rsidP="00C53654">
      <w:pPr>
        <w:contextualSpacing/>
        <w:rPr>
          <w:rFonts w:asciiTheme="minorHAnsi" w:hAnsiTheme="minorHAnsi" w:cstheme="minorHAnsi"/>
        </w:rPr>
      </w:pPr>
      <w:r w:rsidRPr="00EF0532">
        <w:rPr>
          <w:rFonts w:asciiTheme="minorHAnsi" w:hAnsiTheme="minorHAnsi" w:cstheme="minorHAnsi"/>
          <w:iCs/>
        </w:rPr>
        <w:t>Dans le cadre des grandeurs, la proportionnalité sera mise</w:t>
      </w:r>
      <w:r w:rsidRPr="00EF0532">
        <w:rPr>
          <w:rFonts w:asciiTheme="minorHAnsi" w:hAnsiTheme="minorHAnsi" w:cstheme="minorHAnsi"/>
        </w:rPr>
        <w:t xml:space="preserve"> en évidence et convoquée pour résoudre des problèmes dans différents contextes.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gridCol w:w="4413"/>
      </w:tblGrid>
      <w:tr w:rsidR="00C53654" w:rsidRPr="00EF0532" w:rsidTr="009120B0">
        <w:tc>
          <w:tcPr>
            <w:tcW w:w="6043" w:type="dxa"/>
            <w:shd w:val="clear" w:color="auto" w:fill="B6DDE8"/>
          </w:tcPr>
          <w:p w:rsidR="00C53654" w:rsidRPr="00EF0532" w:rsidRDefault="00C53654" w:rsidP="009120B0">
            <w:pPr>
              <w:spacing w:after="0" w:line="240" w:lineRule="auto"/>
              <w:rPr>
                <w:rFonts w:asciiTheme="minorHAnsi" w:hAnsiTheme="minorHAnsi" w:cstheme="minorHAnsi"/>
                <w:i/>
              </w:rPr>
            </w:pPr>
            <w:r w:rsidRPr="00EF0532">
              <w:rPr>
                <w:rFonts w:asciiTheme="minorHAnsi" w:hAnsiTheme="minorHAnsi" w:cstheme="minorHAnsi"/>
                <w:b/>
              </w:rPr>
              <w:t>Connaissances et compétences associées</w:t>
            </w:r>
          </w:p>
        </w:tc>
        <w:tc>
          <w:tcPr>
            <w:tcW w:w="4413" w:type="dxa"/>
            <w:shd w:val="clear" w:color="auto" w:fill="B6DDE8"/>
          </w:tcPr>
          <w:p w:rsidR="00C53654" w:rsidRPr="00EF0532" w:rsidRDefault="00C53654" w:rsidP="009120B0">
            <w:pPr>
              <w:spacing w:after="0" w:line="240" w:lineRule="auto"/>
              <w:rPr>
                <w:rFonts w:asciiTheme="minorHAnsi" w:hAnsiTheme="minorHAnsi" w:cstheme="minorHAnsi"/>
                <w:i/>
              </w:rPr>
            </w:pPr>
            <w:r w:rsidRPr="00EF0532">
              <w:rPr>
                <w:rFonts w:asciiTheme="minorHAnsi" w:hAnsiTheme="minorHAnsi" w:cstheme="minorHAnsi"/>
                <w:b/>
                <w:color w:val="000000"/>
                <w:lang w:eastAsia="fr-FR"/>
              </w:rPr>
              <w:t>Exemples de situations, d’activités et de ressources pour l’élève</w:t>
            </w:r>
          </w:p>
        </w:tc>
      </w:tr>
      <w:tr w:rsidR="00C53654" w:rsidRPr="00EF0532" w:rsidTr="009120B0">
        <w:tc>
          <w:tcPr>
            <w:tcW w:w="6043" w:type="dxa"/>
            <w:tcBorders>
              <w:top w:val="single" w:sz="4" w:space="0" w:color="auto"/>
              <w:left w:val="single" w:sz="4" w:space="0" w:color="auto"/>
              <w:bottom w:val="single" w:sz="4" w:space="0" w:color="auto"/>
              <w:right w:val="single" w:sz="4" w:space="0" w:color="auto"/>
            </w:tcBorders>
            <w:shd w:val="clear" w:color="auto" w:fill="FFFFFF" w:themeFill="background1"/>
          </w:tcPr>
          <w:p w:rsidR="00C53654" w:rsidRPr="00EF0532" w:rsidRDefault="00C53654" w:rsidP="009120B0">
            <w:pPr>
              <w:spacing w:after="0" w:line="240" w:lineRule="auto"/>
              <w:rPr>
                <w:rFonts w:asciiTheme="minorHAnsi" w:hAnsiTheme="minorHAnsi" w:cstheme="minorHAnsi"/>
                <w:b/>
              </w:rPr>
            </w:pPr>
            <w:r w:rsidRPr="00EF0532">
              <w:rPr>
                <w:rFonts w:asciiTheme="minorHAnsi" w:hAnsiTheme="minorHAnsi" w:cstheme="minorHAnsi"/>
                <w:b/>
              </w:rPr>
              <w:t>Proportionnalité</w:t>
            </w:r>
          </w:p>
          <w:p w:rsidR="00C53654" w:rsidRPr="00EF0532" w:rsidRDefault="00C53654" w:rsidP="009120B0">
            <w:pPr>
              <w:spacing w:after="0" w:line="240" w:lineRule="auto"/>
              <w:rPr>
                <w:rFonts w:asciiTheme="minorHAnsi" w:hAnsiTheme="minorHAnsi" w:cstheme="minorHAnsi"/>
              </w:rPr>
            </w:pPr>
            <w:r w:rsidRPr="00EF0532">
              <w:rPr>
                <w:rFonts w:asciiTheme="minorHAnsi" w:hAnsiTheme="minorHAnsi" w:cstheme="minorHAnsi"/>
              </w:rPr>
              <w:t xml:space="preserve">Identifier une situation de proportionnalité entre deux grandeurs. </w:t>
            </w:r>
          </w:p>
          <w:p w:rsidR="00C53654" w:rsidRPr="00EF0532" w:rsidRDefault="00C53654" w:rsidP="00C53654">
            <w:pPr>
              <w:numPr>
                <w:ilvl w:val="0"/>
                <w:numId w:val="3"/>
              </w:numPr>
              <w:spacing w:after="0" w:line="240" w:lineRule="auto"/>
              <w:rPr>
                <w:rFonts w:asciiTheme="minorHAnsi" w:hAnsiTheme="minorHAnsi" w:cstheme="minorHAnsi"/>
              </w:rPr>
            </w:pPr>
            <w:r w:rsidRPr="00EF0532">
              <w:rPr>
                <w:rFonts w:asciiTheme="minorHAnsi" w:hAnsiTheme="minorHAnsi" w:cstheme="minorHAnsi"/>
              </w:rPr>
              <w:t>Graphiques représentant des variations entre deux grandeurs.</w:t>
            </w:r>
          </w:p>
        </w:tc>
        <w:tc>
          <w:tcPr>
            <w:tcW w:w="4413" w:type="dxa"/>
            <w:tcBorders>
              <w:top w:val="single" w:sz="4" w:space="0" w:color="auto"/>
              <w:left w:val="single" w:sz="4" w:space="0" w:color="auto"/>
              <w:bottom w:val="single" w:sz="4" w:space="0" w:color="auto"/>
              <w:right w:val="single" w:sz="4" w:space="0" w:color="auto"/>
            </w:tcBorders>
            <w:shd w:val="clear" w:color="auto" w:fill="FFFFFF" w:themeFill="background1"/>
          </w:tcPr>
          <w:p w:rsidR="00C53654" w:rsidRPr="00EF0532" w:rsidRDefault="00C53654" w:rsidP="009120B0">
            <w:pPr>
              <w:spacing w:after="0" w:line="240" w:lineRule="auto"/>
              <w:rPr>
                <w:rFonts w:asciiTheme="minorHAnsi" w:eastAsia="SimSun" w:hAnsiTheme="minorHAnsi" w:cstheme="minorHAnsi"/>
                <w:color w:val="000000"/>
                <w:kern w:val="1"/>
                <w:lang w:eastAsia="fr-FR"/>
              </w:rPr>
            </w:pPr>
            <w:r w:rsidRPr="00EF0532">
              <w:rPr>
                <w:rFonts w:asciiTheme="minorHAnsi" w:eastAsia="SimSun" w:hAnsiTheme="minorHAnsi" w:cstheme="minorHAnsi"/>
                <w:color w:val="000000"/>
                <w:kern w:val="1"/>
                <w:lang w:eastAsia="fr-FR"/>
              </w:rPr>
              <w:t>Comparer distance parcourue et temps écoulé, quantité d’essence consommée et distance parcourue, quantité de liquide écoulée et temps écoulé, etc.</w:t>
            </w:r>
          </w:p>
        </w:tc>
      </w:tr>
    </w:tbl>
    <w:p w:rsidR="00C53654" w:rsidRDefault="00C53654" w:rsidP="00C53654">
      <w:pPr>
        <w:spacing w:after="0" w:line="240" w:lineRule="auto"/>
        <w:rPr>
          <w:rFonts w:asciiTheme="minorHAnsi" w:hAnsiTheme="minorHAnsi" w:cstheme="minorHAnsi"/>
          <w:b/>
        </w:rPr>
      </w:pPr>
    </w:p>
    <w:p w:rsidR="00C53654" w:rsidRPr="00EF0532" w:rsidRDefault="00C53654" w:rsidP="00C53654">
      <w:pPr>
        <w:spacing w:after="0" w:line="240" w:lineRule="auto"/>
        <w:rPr>
          <w:rFonts w:asciiTheme="minorHAnsi" w:hAnsiTheme="minorHAnsi" w:cstheme="minorHAnsi"/>
          <w:b/>
        </w:rPr>
      </w:pPr>
      <w:r w:rsidRPr="00EF0532">
        <w:rPr>
          <w:rFonts w:asciiTheme="minorHAnsi" w:hAnsiTheme="minorHAnsi" w:cstheme="minorHAnsi"/>
          <w:b/>
        </w:rPr>
        <w:t>Espace et géométrie</w:t>
      </w:r>
    </w:p>
    <w:p w:rsidR="00C53654" w:rsidRPr="00EF0532" w:rsidRDefault="00C53654" w:rsidP="00C53654">
      <w:pPr>
        <w:contextualSpacing/>
        <w:rPr>
          <w:rFonts w:asciiTheme="minorHAnsi" w:hAnsiTheme="minorHAnsi" w:cstheme="minorHAnsi"/>
        </w:rPr>
      </w:pPr>
      <w:r w:rsidRPr="00EF0532">
        <w:rPr>
          <w:rFonts w:asciiTheme="minorHAnsi" w:hAnsiTheme="minorHAnsi" w:cstheme="minorHAnsi"/>
        </w:rPr>
        <w:t>Les activités spatiales et géométriques sont à mettre en lien avec les deux autres thèmes : résoudre dans un autre cadre des problèmes relevant de la proportionnalité.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2"/>
        <w:gridCol w:w="4414"/>
      </w:tblGrid>
      <w:tr w:rsidR="00C53654" w:rsidRPr="00EF0532" w:rsidTr="009120B0">
        <w:tc>
          <w:tcPr>
            <w:tcW w:w="6042" w:type="dxa"/>
            <w:shd w:val="clear" w:color="auto" w:fill="B6DDE8"/>
          </w:tcPr>
          <w:p w:rsidR="00C53654" w:rsidRPr="00EF0532" w:rsidRDefault="00C53654" w:rsidP="009120B0">
            <w:pPr>
              <w:spacing w:after="0" w:line="240" w:lineRule="auto"/>
              <w:rPr>
                <w:rFonts w:asciiTheme="minorHAnsi" w:hAnsiTheme="minorHAnsi" w:cstheme="minorHAnsi"/>
                <w:i/>
              </w:rPr>
            </w:pPr>
            <w:r w:rsidRPr="00EF0532">
              <w:rPr>
                <w:rFonts w:asciiTheme="minorHAnsi" w:hAnsiTheme="minorHAnsi" w:cstheme="minorHAnsi"/>
                <w:b/>
              </w:rPr>
              <w:t>Connaissances et compétences associées</w:t>
            </w:r>
          </w:p>
        </w:tc>
        <w:tc>
          <w:tcPr>
            <w:tcW w:w="4414" w:type="dxa"/>
            <w:shd w:val="clear" w:color="auto" w:fill="B6DDE8"/>
          </w:tcPr>
          <w:p w:rsidR="00C53654" w:rsidRPr="00EF0532" w:rsidRDefault="00C53654" w:rsidP="009120B0">
            <w:pPr>
              <w:spacing w:after="0" w:line="240" w:lineRule="auto"/>
              <w:rPr>
                <w:rFonts w:asciiTheme="minorHAnsi" w:hAnsiTheme="minorHAnsi" w:cstheme="minorHAnsi"/>
                <w:b/>
                <w:color w:val="000000"/>
                <w:lang w:eastAsia="fr-FR"/>
              </w:rPr>
            </w:pPr>
            <w:r w:rsidRPr="00EF0532">
              <w:rPr>
                <w:rFonts w:asciiTheme="minorHAnsi" w:hAnsiTheme="minorHAnsi" w:cstheme="minorHAnsi"/>
                <w:b/>
                <w:color w:val="000000"/>
                <w:lang w:eastAsia="fr-FR"/>
              </w:rPr>
              <w:t>Exemples de situations, d’activités et de ressources pour l’élève</w:t>
            </w:r>
          </w:p>
        </w:tc>
      </w:tr>
      <w:tr w:rsidR="00C53654" w:rsidRPr="00EF0532" w:rsidTr="009120B0">
        <w:tc>
          <w:tcPr>
            <w:tcW w:w="6042" w:type="dxa"/>
            <w:tcBorders>
              <w:top w:val="single" w:sz="4" w:space="0" w:color="auto"/>
              <w:left w:val="single" w:sz="4" w:space="0" w:color="auto"/>
              <w:bottom w:val="single" w:sz="4" w:space="0" w:color="auto"/>
              <w:right w:val="single" w:sz="4" w:space="0" w:color="auto"/>
            </w:tcBorders>
            <w:shd w:val="clear" w:color="auto" w:fill="FFFFFF" w:themeFill="background1"/>
          </w:tcPr>
          <w:p w:rsidR="00C53654" w:rsidRPr="00EF0532" w:rsidRDefault="00C53654" w:rsidP="009120B0">
            <w:pPr>
              <w:spacing w:after="0" w:line="240" w:lineRule="auto"/>
              <w:rPr>
                <w:rFonts w:asciiTheme="minorHAnsi" w:hAnsiTheme="minorHAnsi" w:cstheme="minorHAnsi"/>
                <w:b/>
              </w:rPr>
            </w:pPr>
            <w:r w:rsidRPr="00EF0532">
              <w:rPr>
                <w:rFonts w:asciiTheme="minorHAnsi" w:hAnsiTheme="minorHAnsi" w:cstheme="minorHAnsi"/>
                <w:b/>
              </w:rPr>
              <w:t>Proportionnalité</w:t>
            </w:r>
          </w:p>
          <w:p w:rsidR="00C53654" w:rsidRPr="00EF0532" w:rsidRDefault="00C53654" w:rsidP="009120B0">
            <w:pPr>
              <w:spacing w:after="0" w:line="240" w:lineRule="auto"/>
              <w:rPr>
                <w:rFonts w:asciiTheme="minorHAnsi" w:hAnsiTheme="minorHAnsi" w:cstheme="minorHAnsi"/>
              </w:rPr>
            </w:pPr>
            <w:r w:rsidRPr="00EF0532">
              <w:rPr>
                <w:rFonts w:asciiTheme="minorHAnsi" w:hAnsiTheme="minorHAnsi" w:cstheme="minorHAnsi"/>
              </w:rPr>
              <w:t xml:space="preserve">Reproduire une figure en respectant une échelle. </w:t>
            </w:r>
          </w:p>
          <w:p w:rsidR="00C53654" w:rsidRPr="00EF0532" w:rsidRDefault="00C53654" w:rsidP="00C53654">
            <w:pPr>
              <w:numPr>
                <w:ilvl w:val="0"/>
                <w:numId w:val="4"/>
              </w:numPr>
              <w:spacing w:after="0" w:line="240" w:lineRule="auto"/>
              <w:rPr>
                <w:rFonts w:asciiTheme="minorHAnsi" w:hAnsiTheme="minorHAnsi" w:cstheme="minorHAnsi"/>
              </w:rPr>
            </w:pPr>
            <w:r w:rsidRPr="00EF0532">
              <w:rPr>
                <w:rFonts w:asciiTheme="minorHAnsi" w:hAnsiTheme="minorHAnsi" w:cstheme="minorHAnsi"/>
              </w:rPr>
              <w:t>Agrandissement ou réduction d’une figure.</w:t>
            </w:r>
          </w:p>
        </w:tc>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tcPr>
          <w:p w:rsidR="00C53654" w:rsidRPr="00EF0532" w:rsidRDefault="00C53654" w:rsidP="009120B0">
            <w:pPr>
              <w:spacing w:after="0" w:line="240" w:lineRule="auto"/>
              <w:rPr>
                <w:rFonts w:asciiTheme="minorHAnsi" w:hAnsiTheme="minorHAnsi" w:cstheme="minorHAnsi"/>
                <w:color w:val="000000"/>
                <w:lang w:eastAsia="fr-FR"/>
              </w:rPr>
            </w:pPr>
            <w:r w:rsidRPr="00EF0532">
              <w:rPr>
                <w:rFonts w:asciiTheme="minorHAnsi" w:hAnsiTheme="minorHAnsi" w:cstheme="minorHAnsi"/>
                <w:color w:val="000000"/>
                <w:lang w:eastAsia="fr-FR"/>
              </w:rPr>
              <w:t>Reproduire une figure à partir d’un modèle (l’échelle pouvant être donnée par des éléments déjà tracés).</w:t>
            </w:r>
          </w:p>
        </w:tc>
      </w:tr>
    </w:tbl>
    <w:p w:rsidR="00C53654" w:rsidRPr="00EF0532" w:rsidRDefault="00C53654" w:rsidP="00C53654">
      <w:pPr>
        <w:contextualSpacing/>
        <w:rPr>
          <w:rFonts w:asciiTheme="minorHAnsi" w:hAnsiTheme="minorHAnsi" w:cstheme="minorHAnsi"/>
          <w:b/>
          <w:bCs/>
        </w:rPr>
      </w:pPr>
    </w:p>
    <w:p w:rsidR="00C53654" w:rsidRPr="00C53654" w:rsidRDefault="00C53654" w:rsidP="00C53654">
      <w:pPr>
        <w:spacing w:after="0" w:line="240" w:lineRule="auto"/>
        <w:jc w:val="both"/>
        <w:rPr>
          <w:rFonts w:asciiTheme="minorHAnsi" w:hAnsiTheme="minorHAnsi" w:cs="Calibri"/>
          <w:b/>
          <w:color w:val="31849B"/>
        </w:rPr>
      </w:pPr>
      <w:r w:rsidRPr="00C53654">
        <w:rPr>
          <w:rFonts w:asciiTheme="minorHAnsi" w:hAnsiTheme="minorHAnsi" w:cs="Calibri"/>
          <w:b/>
          <w:color w:val="31849B"/>
        </w:rPr>
        <w:lastRenderedPageBreak/>
        <w:t>Repères de progressivité : le cas particulier de la proportionnalité </w:t>
      </w:r>
    </w:p>
    <w:p w:rsidR="00C53654" w:rsidRPr="00C53654" w:rsidRDefault="00C53654" w:rsidP="00C53654">
      <w:pPr>
        <w:spacing w:after="0" w:line="240" w:lineRule="auto"/>
        <w:jc w:val="both"/>
        <w:rPr>
          <w:rFonts w:asciiTheme="minorHAnsi" w:hAnsiTheme="minorHAnsi" w:cs="Calibri"/>
          <w:color w:val="000000"/>
        </w:rPr>
      </w:pPr>
      <w:r w:rsidRPr="00C53654">
        <w:rPr>
          <w:rFonts w:asciiTheme="minorHAnsi" w:hAnsiTheme="minorHAnsi" w:cs="Calibri"/>
          <w:color w:val="000000"/>
        </w:rPr>
        <w:t xml:space="preserve">La proportionnalité doit être traitée dans le cadre de chacun des trois domaines « nombres et calculs », « grandeurs et mesures » et « espace et géométrie ». </w:t>
      </w:r>
    </w:p>
    <w:p w:rsidR="00C53654" w:rsidRPr="00C53654" w:rsidRDefault="00C53654" w:rsidP="00C53654">
      <w:pPr>
        <w:spacing w:after="0" w:line="240" w:lineRule="auto"/>
        <w:jc w:val="both"/>
        <w:rPr>
          <w:rFonts w:asciiTheme="minorHAnsi" w:hAnsiTheme="minorHAnsi" w:cs="Calibri"/>
        </w:rPr>
      </w:pPr>
      <w:r w:rsidRPr="00C53654">
        <w:rPr>
          <w:rFonts w:asciiTheme="minorHAnsi" w:hAnsiTheme="minorHAnsi" w:cs="Calibri"/>
          <w:color w:val="000000"/>
        </w:rPr>
        <w:t>E</w:t>
      </w:r>
      <w:r w:rsidRPr="00C53654">
        <w:rPr>
          <w:rFonts w:asciiTheme="minorHAnsi" w:hAnsiTheme="minorHAnsi" w:cs="Calibri"/>
        </w:rPr>
        <w:t xml:space="preserve">n CM1, le recours aux propriétés de linéarité </w:t>
      </w:r>
      <w:r w:rsidRPr="00C53654">
        <w:rPr>
          <w:rFonts w:asciiTheme="minorHAnsi" w:hAnsiTheme="minorHAnsi" w:cs="Calibri"/>
          <w:color w:val="000000"/>
        </w:rPr>
        <w:t xml:space="preserve">(additive et multiplicative) </w:t>
      </w:r>
      <w:r w:rsidRPr="00C53654">
        <w:rPr>
          <w:rFonts w:asciiTheme="minorHAnsi" w:hAnsiTheme="minorHAnsi" w:cs="Calibri"/>
        </w:rPr>
        <w:t xml:space="preserve">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w:t>
      </w:r>
      <w:proofErr w:type="gramStart"/>
      <w:r w:rsidRPr="00C53654">
        <w:rPr>
          <w:rFonts w:asciiTheme="minorHAnsi" w:hAnsiTheme="minorHAnsi" w:cs="Calibri"/>
        </w:rPr>
        <w:t>des situations impliquant</w:t>
      </w:r>
      <w:proofErr w:type="gramEnd"/>
      <w:r w:rsidRPr="00C53654">
        <w:rPr>
          <w:rFonts w:asciiTheme="minorHAnsi" w:hAnsiTheme="minorHAnsi" w:cs="Calibri"/>
        </w:rPr>
        <w:t> :</w:t>
      </w:r>
    </w:p>
    <w:p w:rsidR="00C53654" w:rsidRPr="00C53654" w:rsidRDefault="00C53654" w:rsidP="00C53654">
      <w:pPr>
        <w:pStyle w:val="Paragraphedeliste"/>
        <w:numPr>
          <w:ilvl w:val="0"/>
          <w:numId w:val="1"/>
        </w:numPr>
        <w:spacing w:after="0" w:line="240" w:lineRule="auto"/>
        <w:jc w:val="both"/>
        <w:rPr>
          <w:rFonts w:asciiTheme="minorHAnsi" w:hAnsiTheme="minorHAnsi" w:cs="Calibri"/>
        </w:rPr>
      </w:pPr>
      <w:r w:rsidRPr="00C53654">
        <w:rPr>
          <w:rFonts w:asciiTheme="minorHAnsi" w:hAnsiTheme="minorHAnsi" w:cs="Calibri"/>
        </w:rPr>
        <w:t xml:space="preserve">Des échelles ou des vitesses constantes peuvent être rencontrées. </w:t>
      </w:r>
    </w:p>
    <w:p w:rsidR="00C53654" w:rsidRPr="00C53654" w:rsidRDefault="00996CFB" w:rsidP="00C53654">
      <w:pPr>
        <w:pStyle w:val="Paragraphedeliste"/>
        <w:spacing w:after="0" w:line="240" w:lineRule="auto"/>
        <w:jc w:val="both"/>
        <w:rPr>
          <w:rFonts w:asciiTheme="minorHAnsi" w:hAnsiTheme="minorHAnsi" w:cs="Calibri"/>
        </w:rPr>
      </w:pPr>
      <w:r>
        <w:rPr>
          <w:noProof/>
        </w:rPr>
        <w:drawing>
          <wp:anchor distT="0" distB="0" distL="114300" distR="114300" simplePos="0" relativeHeight="251661312" behindDoc="0" locked="0" layoutInCell="1" allowOverlap="1" wp14:anchorId="43032950">
            <wp:simplePos x="0" y="0"/>
            <wp:positionH relativeFrom="column">
              <wp:posOffset>1285875</wp:posOffset>
            </wp:positionH>
            <wp:positionV relativeFrom="paragraph">
              <wp:posOffset>12065</wp:posOffset>
            </wp:positionV>
            <wp:extent cx="3457575" cy="5810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57575" cy="581025"/>
                    </a:xfrm>
                    <a:prstGeom prst="rect">
                      <a:avLst/>
                    </a:prstGeom>
                  </pic:spPr>
                </pic:pic>
              </a:graphicData>
            </a:graphic>
          </wp:anchor>
        </w:drawing>
      </w:r>
      <w:r w:rsidR="00C53654" w:rsidRPr="00C53654">
        <w:rPr>
          <w:rFonts w:asciiTheme="minorHAnsi" w:hAnsiTheme="minorHAnsi" w:cs="Calibri"/>
        </w:rPr>
        <w:t>Exemple :</w:t>
      </w:r>
      <w:r w:rsidR="00C53654" w:rsidRPr="00C53654">
        <w:rPr>
          <w:rFonts w:asciiTheme="minorHAnsi" w:hAnsiTheme="minorHAnsi" w:cs="Calibri"/>
          <w:noProof/>
        </w:rPr>
        <w:t xml:space="preserve"> </w:t>
      </w:r>
    </w:p>
    <w:p w:rsidR="00C53654" w:rsidRPr="00C53654" w:rsidRDefault="00C53654" w:rsidP="00C53654">
      <w:pPr>
        <w:pStyle w:val="Paragraphedeliste"/>
        <w:spacing w:after="0" w:line="240" w:lineRule="auto"/>
        <w:jc w:val="both"/>
        <w:rPr>
          <w:rFonts w:asciiTheme="minorHAnsi" w:hAnsiTheme="minorHAnsi" w:cs="Calibri"/>
        </w:rPr>
      </w:pPr>
    </w:p>
    <w:p w:rsidR="00C53654" w:rsidRPr="00C53654" w:rsidRDefault="00C53654" w:rsidP="00C53654">
      <w:pPr>
        <w:pStyle w:val="Paragraphedeliste"/>
        <w:spacing w:after="0" w:line="240" w:lineRule="auto"/>
        <w:jc w:val="both"/>
        <w:rPr>
          <w:rFonts w:asciiTheme="minorHAnsi" w:hAnsiTheme="minorHAnsi" w:cs="Calibri"/>
        </w:rPr>
      </w:pPr>
    </w:p>
    <w:p w:rsidR="00C53654" w:rsidRPr="00C53654" w:rsidRDefault="00996CFB" w:rsidP="00C53654">
      <w:pPr>
        <w:pStyle w:val="Paragraphedeliste"/>
        <w:spacing w:after="0" w:line="240" w:lineRule="auto"/>
        <w:jc w:val="both"/>
        <w:rPr>
          <w:rFonts w:asciiTheme="minorHAnsi" w:hAnsiTheme="minorHAnsi" w:cs="Calibri"/>
        </w:rPr>
      </w:pPr>
      <w:r>
        <w:rPr>
          <w:noProof/>
        </w:rPr>
        <w:drawing>
          <wp:anchor distT="0" distB="0" distL="114300" distR="114300" simplePos="0" relativeHeight="251662336" behindDoc="0" locked="0" layoutInCell="1" allowOverlap="1" wp14:anchorId="2AB6535F">
            <wp:simplePos x="0" y="0"/>
            <wp:positionH relativeFrom="column">
              <wp:posOffset>1276350</wp:posOffset>
            </wp:positionH>
            <wp:positionV relativeFrom="paragraph">
              <wp:posOffset>120015</wp:posOffset>
            </wp:positionV>
            <wp:extent cx="3495675" cy="5429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95675" cy="542925"/>
                    </a:xfrm>
                    <a:prstGeom prst="rect">
                      <a:avLst/>
                    </a:prstGeom>
                  </pic:spPr>
                </pic:pic>
              </a:graphicData>
            </a:graphic>
          </wp:anchor>
        </w:drawing>
      </w:r>
    </w:p>
    <w:p w:rsidR="00C53654" w:rsidRPr="00C53654" w:rsidRDefault="00C53654" w:rsidP="00C53654">
      <w:pPr>
        <w:pStyle w:val="Paragraphedeliste"/>
        <w:spacing w:after="0" w:line="240" w:lineRule="auto"/>
        <w:jc w:val="both"/>
        <w:rPr>
          <w:rFonts w:asciiTheme="minorHAnsi" w:hAnsiTheme="minorHAnsi" w:cs="Calibri"/>
        </w:rPr>
      </w:pPr>
    </w:p>
    <w:p w:rsidR="00C53654" w:rsidRPr="00C53654" w:rsidRDefault="00C53654" w:rsidP="00C53654">
      <w:pPr>
        <w:pStyle w:val="Paragraphedeliste"/>
        <w:spacing w:after="0" w:line="240" w:lineRule="auto"/>
        <w:jc w:val="both"/>
        <w:rPr>
          <w:rFonts w:asciiTheme="minorHAnsi" w:hAnsiTheme="minorHAnsi" w:cs="Calibri"/>
        </w:rPr>
      </w:pPr>
    </w:p>
    <w:p w:rsidR="00C53654" w:rsidRDefault="00C53654" w:rsidP="00C53654">
      <w:pPr>
        <w:pStyle w:val="Paragraphedeliste"/>
        <w:spacing w:after="0" w:line="240" w:lineRule="auto"/>
        <w:jc w:val="both"/>
        <w:rPr>
          <w:rFonts w:asciiTheme="minorHAnsi" w:hAnsiTheme="minorHAnsi" w:cs="Calibri"/>
        </w:rPr>
      </w:pPr>
    </w:p>
    <w:p w:rsidR="00C53654" w:rsidRPr="00996CFB" w:rsidRDefault="00C53654" w:rsidP="00996CFB">
      <w:pPr>
        <w:spacing w:after="0" w:line="240" w:lineRule="auto"/>
        <w:jc w:val="both"/>
        <w:rPr>
          <w:rFonts w:asciiTheme="minorHAnsi" w:hAnsiTheme="minorHAnsi" w:cs="Calibri"/>
        </w:rPr>
      </w:pPr>
    </w:p>
    <w:p w:rsidR="00C53654" w:rsidRPr="00C53654" w:rsidRDefault="00C53654" w:rsidP="00C53654">
      <w:pPr>
        <w:pStyle w:val="Paragraphedeliste"/>
        <w:numPr>
          <w:ilvl w:val="0"/>
          <w:numId w:val="1"/>
        </w:numPr>
        <w:spacing w:after="0" w:line="240" w:lineRule="auto"/>
        <w:jc w:val="both"/>
        <w:rPr>
          <w:rFonts w:asciiTheme="minorHAnsi" w:hAnsiTheme="minorHAnsi" w:cs="Calibri"/>
        </w:rPr>
      </w:pPr>
      <w:r w:rsidRPr="00C53654">
        <w:rPr>
          <w:rFonts w:asciiTheme="minorHAnsi" w:hAnsiTheme="minorHAnsi" w:cs="Calibri"/>
        </w:rPr>
        <w:t>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C53654" w:rsidRPr="00C53654" w:rsidRDefault="00996CFB" w:rsidP="00C53654">
      <w:pPr>
        <w:pStyle w:val="Paragraphedeliste"/>
        <w:spacing w:after="0" w:line="240" w:lineRule="auto"/>
        <w:jc w:val="both"/>
        <w:rPr>
          <w:rFonts w:asciiTheme="minorHAnsi" w:hAnsiTheme="minorHAnsi" w:cs="Calibri"/>
        </w:rPr>
      </w:pPr>
      <w:r>
        <w:rPr>
          <w:noProof/>
        </w:rPr>
        <w:drawing>
          <wp:anchor distT="0" distB="0" distL="114300" distR="114300" simplePos="0" relativeHeight="251663360" behindDoc="0" locked="0" layoutInCell="1" allowOverlap="1" wp14:anchorId="4A287C8A">
            <wp:simplePos x="0" y="0"/>
            <wp:positionH relativeFrom="margin">
              <wp:align>center</wp:align>
            </wp:positionH>
            <wp:positionV relativeFrom="paragraph">
              <wp:posOffset>62230</wp:posOffset>
            </wp:positionV>
            <wp:extent cx="4305300" cy="21431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05300" cy="2143125"/>
                    </a:xfrm>
                    <a:prstGeom prst="rect">
                      <a:avLst/>
                    </a:prstGeom>
                  </pic:spPr>
                </pic:pic>
              </a:graphicData>
            </a:graphic>
          </wp:anchor>
        </w:drawing>
      </w:r>
      <w:r w:rsidR="00C53654" w:rsidRPr="00C53654">
        <w:rPr>
          <w:rFonts w:asciiTheme="minorHAnsi" w:hAnsiTheme="minorHAnsi" w:cs="Calibri"/>
        </w:rPr>
        <w:t xml:space="preserve">Exemple : </w:t>
      </w: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Pr="00C53654" w:rsidRDefault="00C53654" w:rsidP="00C53654">
      <w:pPr>
        <w:pStyle w:val="Paragraphedeliste"/>
        <w:rPr>
          <w:rFonts w:asciiTheme="minorHAnsi" w:hAnsiTheme="minorHAnsi" w:cs="Calibri"/>
        </w:rPr>
      </w:pPr>
    </w:p>
    <w:p w:rsidR="00C53654" w:rsidRDefault="00C53654" w:rsidP="00C53654">
      <w:pPr>
        <w:pStyle w:val="Paragraphedeliste"/>
        <w:rPr>
          <w:rFonts w:asciiTheme="minorHAnsi" w:hAnsiTheme="minorHAnsi" w:cs="Calibri"/>
        </w:rPr>
      </w:pPr>
    </w:p>
    <w:p w:rsidR="00C53654" w:rsidRDefault="00C53654" w:rsidP="00C53654">
      <w:pPr>
        <w:pStyle w:val="Paragraphedeliste"/>
        <w:rPr>
          <w:rFonts w:asciiTheme="minorHAnsi" w:hAnsiTheme="minorHAnsi" w:cs="Calibri"/>
        </w:rPr>
      </w:pPr>
    </w:p>
    <w:p w:rsidR="00C53654" w:rsidRPr="00C53654" w:rsidRDefault="00C53654" w:rsidP="00C53654">
      <w:pPr>
        <w:spacing w:after="0" w:line="240" w:lineRule="auto"/>
        <w:jc w:val="both"/>
        <w:rPr>
          <w:rFonts w:asciiTheme="minorHAnsi" w:hAnsiTheme="minorHAnsi" w:cs="Calibri"/>
          <w:b/>
          <w:color w:val="31849B"/>
        </w:rPr>
      </w:pPr>
      <w:r w:rsidRPr="00C53654">
        <w:rPr>
          <w:rFonts w:asciiTheme="minorHAnsi" w:hAnsiTheme="minorHAnsi" w:cs="Calibri"/>
          <w:b/>
          <w:color w:val="31849B"/>
        </w:rPr>
        <w:t>Croisements entre enseignements</w:t>
      </w:r>
    </w:p>
    <w:p w:rsidR="00C53654" w:rsidRPr="00C53654" w:rsidRDefault="00C53654" w:rsidP="00C53654">
      <w:pPr>
        <w:spacing w:after="0" w:line="240" w:lineRule="auto"/>
        <w:jc w:val="both"/>
        <w:rPr>
          <w:rFonts w:asciiTheme="minorHAnsi" w:hAnsiTheme="minorHAnsi" w:cs="Calibri"/>
        </w:rPr>
      </w:pPr>
      <w:r w:rsidRPr="00C53654">
        <w:rPr>
          <w:rFonts w:asciiTheme="minorHAnsi" w:hAnsiTheme="minorHAnsi" w:cs="Calibri"/>
        </w:rPr>
        <w:t>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Les élèves apprennent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plastiques).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plastiques, sciences).</w:t>
      </w:r>
    </w:p>
    <w:p w:rsidR="00C53654" w:rsidRPr="00C53654" w:rsidRDefault="00C53654" w:rsidP="00C53654">
      <w:pPr>
        <w:spacing w:after="0" w:line="240" w:lineRule="auto"/>
        <w:jc w:val="both"/>
        <w:rPr>
          <w:rFonts w:asciiTheme="minorHAnsi" w:hAnsiTheme="minorHAnsi" w:cs="Calibri"/>
        </w:rPr>
      </w:pPr>
      <w:r w:rsidRPr="00C53654">
        <w:rPr>
          <w:rFonts w:asciiTheme="minorHAnsi" w:hAnsiTheme="minorHAnsi" w:cs="Calibri"/>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sectPr w:rsidR="00C53654" w:rsidRPr="00C53654" w:rsidSect="009A0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EF4366"/>
    <w:multiLevelType w:val="hybridMultilevel"/>
    <w:tmpl w:val="A5DA32E0"/>
    <w:lvl w:ilvl="0" w:tplc="8850D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C1"/>
    <w:rsid w:val="00340E8A"/>
    <w:rsid w:val="005D313D"/>
    <w:rsid w:val="00616B75"/>
    <w:rsid w:val="0084077D"/>
    <w:rsid w:val="00903519"/>
    <w:rsid w:val="00996CFB"/>
    <w:rsid w:val="009A02C1"/>
    <w:rsid w:val="009C4FDF"/>
    <w:rsid w:val="00A7432A"/>
    <w:rsid w:val="00C53654"/>
    <w:rsid w:val="00DB4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285"/>
  <w15:chartTrackingRefBased/>
  <w15:docId w15:val="{A9C6B271-5D98-4018-A2C2-F49C1BC1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C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077D"/>
    <w:pPr>
      <w:ind w:left="720"/>
      <w:contextualSpacing/>
    </w:pPr>
  </w:style>
  <w:style w:type="paragraph" w:styleId="Sansinterligne">
    <w:name w:val="No Spacing"/>
    <w:uiPriority w:val="1"/>
    <w:qFormat/>
    <w:rsid w:val="00C53654"/>
    <w:pPr>
      <w:spacing w:after="0" w:line="240" w:lineRule="auto"/>
    </w:pPr>
  </w:style>
  <w:style w:type="paragraph" w:styleId="NormalWeb">
    <w:name w:val="Normal (Web)"/>
    <w:basedOn w:val="Normal"/>
    <w:uiPriority w:val="99"/>
    <w:semiHidden/>
    <w:unhideWhenUsed/>
    <w:rsid w:val="00C5365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Tank</dc:creator>
  <cp:keywords/>
  <dc:description/>
  <cp:lastModifiedBy>Stéphane Tank</cp:lastModifiedBy>
  <cp:revision>4</cp:revision>
  <dcterms:created xsi:type="dcterms:W3CDTF">2018-01-22T15:05:00Z</dcterms:created>
  <dcterms:modified xsi:type="dcterms:W3CDTF">2018-02-03T09:27:00Z</dcterms:modified>
</cp:coreProperties>
</file>